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62528" w14:textId="0C93D6EB" w:rsidR="007E3535" w:rsidRPr="00F41AF6" w:rsidRDefault="007E3535" w:rsidP="007E3535">
      <w:pPr>
        <w:spacing w:line="254" w:lineRule="auto"/>
        <w:rPr>
          <w:rFonts w:eastAsia="Arial" w:cs="Arial"/>
          <w:b/>
          <w:bCs/>
          <w:color w:val="000000" w:themeColor="text1"/>
        </w:rPr>
      </w:pPr>
      <w:bookmarkStart w:id="0" w:name="_GoBack"/>
      <w:bookmarkEnd w:id="0"/>
      <w:r w:rsidRPr="00F41AF6">
        <w:rPr>
          <w:rFonts w:eastAsia="Arial" w:cs="Arial"/>
          <w:b/>
          <w:bCs/>
          <w:color w:val="000000" w:themeColor="text1"/>
        </w:rPr>
        <w:t xml:space="preserve">New safeguarding concerns and enquiries paper </w:t>
      </w:r>
    </w:p>
    <w:p w14:paraId="550C307E" w14:textId="77777777" w:rsidR="007E3535" w:rsidRPr="00F41AF6" w:rsidRDefault="007E3535" w:rsidP="007E3535">
      <w:pPr>
        <w:rPr>
          <w:rFonts w:eastAsia="Arial" w:cs="Arial"/>
          <w:color w:val="000000" w:themeColor="text1"/>
        </w:rPr>
      </w:pPr>
      <w:r w:rsidRPr="00F41AF6">
        <w:rPr>
          <w:rFonts w:eastAsia="Arial" w:cs="Arial"/>
          <w:color w:val="000000" w:themeColor="text1"/>
        </w:rPr>
        <w:t>Partners in Care and Health has published ‘</w:t>
      </w:r>
      <w:hyperlink r:id="rId11">
        <w:r w:rsidRPr="00F41AF6">
          <w:rPr>
            <w:rStyle w:val="Hyperlink"/>
            <w:rFonts w:eastAsia="Arial" w:cs="Arial"/>
          </w:rPr>
          <w:t>What constitutes a safeguarding concern and how to carry out an enquiry</w:t>
        </w:r>
      </w:hyperlink>
      <w:r w:rsidRPr="00F41AF6">
        <w:rPr>
          <w:rFonts w:eastAsia="Arial" w:cs="Arial"/>
          <w:color w:val="000000" w:themeColor="text1"/>
        </w:rPr>
        <w:t xml:space="preserve">’ which reports on two workshops and conversations aimed at building confidence in defining and working with safeguarding concerns and enquiries, improving understanding and building confidence, there is also an accompanying </w:t>
      </w:r>
      <w:hyperlink r:id="rId12">
        <w:r w:rsidRPr="00F41AF6">
          <w:rPr>
            <w:rStyle w:val="Hyperlink"/>
            <w:rFonts w:eastAsia="Arial" w:cs="Arial"/>
          </w:rPr>
          <w:t>FAQs</w:t>
        </w:r>
      </w:hyperlink>
      <w:r w:rsidRPr="00F41AF6">
        <w:rPr>
          <w:rFonts w:eastAsia="Arial" w:cs="Arial"/>
          <w:color w:val="000000" w:themeColor="text1"/>
        </w:rPr>
        <w:t>.</w:t>
      </w:r>
    </w:p>
    <w:p w14:paraId="4FAD3E1E" w14:textId="77777777" w:rsidR="007E3535" w:rsidRPr="00F41AF6" w:rsidRDefault="007E3535" w:rsidP="007E3535">
      <w:pPr>
        <w:rPr>
          <w:rFonts w:eastAsia="Arial" w:cs="Arial"/>
          <w:color w:val="000000" w:themeColor="text1"/>
        </w:rPr>
      </w:pPr>
      <w:r w:rsidRPr="00F41AF6">
        <w:rPr>
          <w:rFonts w:eastAsia="Arial" w:cs="Arial"/>
          <w:color w:val="000000" w:themeColor="text1"/>
        </w:rPr>
        <w:t xml:space="preserve"> </w:t>
      </w:r>
    </w:p>
    <w:p w14:paraId="4434F7C3" w14:textId="2E4A88F4" w:rsidR="007E3535" w:rsidRPr="00F41AF6" w:rsidRDefault="007E3535" w:rsidP="007E3535">
      <w:pPr>
        <w:rPr>
          <w:rFonts w:eastAsia="Arial" w:cs="Arial"/>
          <w:b/>
          <w:bCs/>
        </w:rPr>
      </w:pPr>
      <w:r w:rsidRPr="00F41AF6">
        <w:rPr>
          <w:rFonts w:eastAsia="Arial" w:cs="Arial"/>
          <w:b/>
          <w:bCs/>
        </w:rPr>
        <w:t>Health and social care, integrated care and safeguarding adults</w:t>
      </w:r>
    </w:p>
    <w:p w14:paraId="3F11DF23" w14:textId="77777777" w:rsidR="007E3535" w:rsidRPr="00F41AF6" w:rsidRDefault="007E3535" w:rsidP="007E3535">
      <w:pPr>
        <w:rPr>
          <w:rFonts w:eastAsia="Arial" w:cs="Arial"/>
        </w:rPr>
      </w:pPr>
      <w:r w:rsidRPr="00F41AF6">
        <w:rPr>
          <w:rFonts w:eastAsia="Arial" w:cs="Arial"/>
        </w:rPr>
        <w:t>The ‘</w:t>
      </w:r>
      <w:hyperlink r:id="rId13">
        <w:r w:rsidRPr="00F41AF6">
          <w:rPr>
            <w:rStyle w:val="Hyperlink"/>
            <w:rFonts w:eastAsia="Arial" w:cs="Arial"/>
          </w:rPr>
          <w:t>Health and social care, integrated care and safeguarding adults</w:t>
        </w:r>
      </w:hyperlink>
      <w:r w:rsidRPr="00F41AF6">
        <w:rPr>
          <w:rFonts w:eastAsia="Arial" w:cs="Arial"/>
        </w:rPr>
        <w:t>’ paper provides an early understanding of the impact of the NHS integrated care systems (ICS) and integrated care boards (ICBs) on adult safeguarding. This paper tries to provide more clarity on the role of ICBs in relation to adult safeguarding.</w:t>
      </w:r>
    </w:p>
    <w:p w14:paraId="1B135766" w14:textId="2E7D4619" w:rsidR="008F6FA9" w:rsidRDefault="008F6FA9" w:rsidP="00AC3650"/>
    <w:p w14:paraId="16F70786" w14:textId="364864F6" w:rsidR="00846BC5" w:rsidRPr="00A17396" w:rsidRDefault="00A17396" w:rsidP="00AC3650">
      <w:pPr>
        <w:rPr>
          <w:b/>
          <w:bCs/>
        </w:rPr>
      </w:pPr>
      <w:r w:rsidRPr="00A17396">
        <w:rPr>
          <w:b/>
          <w:bCs/>
        </w:rPr>
        <w:t>Safeguarding adults assurance information for directors of adult social services</w:t>
      </w:r>
    </w:p>
    <w:p w14:paraId="355BCA08" w14:textId="1D13BAEE" w:rsidR="00887241" w:rsidRPr="00846BC5" w:rsidRDefault="00846BC5" w:rsidP="00AC3650">
      <w:pPr>
        <w:rPr>
          <w:rFonts w:cs="Arial"/>
          <w:color w:val="000000" w:themeColor="text1"/>
          <w:szCs w:val="36"/>
          <w:shd w:val="clear" w:color="auto" w:fill="FFFFFF"/>
        </w:rPr>
      </w:pPr>
      <w:r w:rsidRPr="00846BC5">
        <w:rPr>
          <w:rFonts w:cs="Arial"/>
          <w:color w:val="000000" w:themeColor="text1"/>
          <w:szCs w:val="36"/>
          <w:shd w:val="clear" w:color="auto" w:fill="FFFFFF"/>
        </w:rPr>
        <w:t xml:space="preserve">This </w:t>
      </w:r>
      <w:hyperlink r:id="rId14" w:history="1">
        <w:r w:rsidR="00A17396" w:rsidRPr="00A17396">
          <w:rPr>
            <w:rStyle w:val="Hyperlink"/>
            <w:rFonts w:cs="Arial"/>
            <w:szCs w:val="36"/>
            <w:shd w:val="clear" w:color="auto" w:fill="FFFFFF"/>
          </w:rPr>
          <w:t xml:space="preserve">information </w:t>
        </w:r>
        <w:r w:rsidRPr="00A17396">
          <w:rPr>
            <w:rStyle w:val="Hyperlink"/>
            <w:rFonts w:cs="Arial"/>
            <w:szCs w:val="36"/>
            <w:shd w:val="clear" w:color="auto" w:fill="FFFFFF"/>
          </w:rPr>
          <w:t>resource</w:t>
        </w:r>
      </w:hyperlink>
      <w:r w:rsidRPr="00846BC5">
        <w:rPr>
          <w:rFonts w:cs="Arial"/>
          <w:color w:val="000000" w:themeColor="text1"/>
          <w:szCs w:val="36"/>
          <w:shd w:val="clear" w:color="auto" w:fill="FFFFFF"/>
        </w:rPr>
        <w:t xml:space="preserve"> aims to bring together some of the existing tools for audit, review and assurance to support sector led improvement in safeguarding adults. The new regime is based on statutory requirements in the Care and Support statutory guidance regarding safeguarding adults, and local authorities are the lead agency for safeguarding adults.</w:t>
      </w:r>
    </w:p>
    <w:p w14:paraId="54B7A291" w14:textId="77777777" w:rsidR="00846BC5" w:rsidRPr="00F41AF6" w:rsidRDefault="00846BC5" w:rsidP="00AC3650"/>
    <w:p w14:paraId="755B32BC" w14:textId="77777777" w:rsidR="008F6FA9" w:rsidRPr="00F41AF6" w:rsidRDefault="008F6FA9" w:rsidP="008F6FA9">
      <w:pPr>
        <w:widowControl/>
        <w:shd w:val="clear" w:color="auto" w:fill="FFFFFF"/>
        <w:spacing w:after="150" w:line="240" w:lineRule="auto"/>
        <w:outlineLvl w:val="1"/>
        <w:rPr>
          <w:rFonts w:cs="Arial"/>
          <w:b/>
          <w:bCs/>
          <w:color w:val="464B51"/>
          <w:lang w:eastAsia="en-GB"/>
        </w:rPr>
      </w:pPr>
      <w:r w:rsidRPr="00F41AF6">
        <w:rPr>
          <w:rFonts w:cs="Arial"/>
          <w:b/>
          <w:bCs/>
          <w:color w:val="464B51"/>
          <w:lang w:eastAsia="en-GB"/>
        </w:rPr>
        <w:t>Making safeguarding personal videos</w:t>
      </w:r>
    </w:p>
    <w:p w14:paraId="46B639E0" w14:textId="56F2B9F5" w:rsidR="008F6FA9" w:rsidRPr="00F41AF6" w:rsidRDefault="008F6FA9" w:rsidP="008F6FA9">
      <w:pPr>
        <w:widowControl/>
        <w:shd w:val="clear" w:color="auto" w:fill="FFFFFF"/>
        <w:spacing w:after="300" w:line="240" w:lineRule="auto"/>
        <w:rPr>
          <w:rFonts w:cs="Arial"/>
          <w:color w:val="464B51"/>
          <w:lang w:eastAsia="en-GB"/>
        </w:rPr>
      </w:pPr>
      <w:r w:rsidRPr="00F41AF6">
        <w:rPr>
          <w:rFonts w:cs="Arial"/>
          <w:color w:val="464B51"/>
          <w:lang w:eastAsia="en-GB"/>
        </w:rPr>
        <w:t>The </w:t>
      </w:r>
      <w:hyperlink r:id="rId15" w:history="1">
        <w:r w:rsidRPr="00F41AF6">
          <w:rPr>
            <w:rFonts w:cs="Arial"/>
            <w:b/>
            <w:bCs/>
            <w:color w:val="006699"/>
            <w:u w:val="single"/>
            <w:lang w:eastAsia="en-GB"/>
          </w:rPr>
          <w:t>Making Safeguarding Personal videos</w:t>
        </w:r>
      </w:hyperlink>
      <w:r w:rsidRPr="00F41AF6">
        <w:rPr>
          <w:rFonts w:cs="Arial"/>
          <w:color w:val="464B51"/>
          <w:lang w:eastAsia="en-GB"/>
        </w:rPr>
        <w:t> were developed by Research in Practice for the safeguarding adults workstream of the Care and Health Improvement Partnership in 2022. They are tools for practitioners, trainers and anyone else to be used to promote a person centred, outcome focused and strength</w:t>
      </w:r>
      <w:r w:rsidR="00445ECF" w:rsidRPr="00F41AF6">
        <w:rPr>
          <w:rFonts w:cs="Arial"/>
          <w:color w:val="464B51"/>
          <w:lang w:eastAsia="en-GB"/>
        </w:rPr>
        <w:t>-</w:t>
      </w:r>
      <w:r w:rsidRPr="00F41AF6">
        <w:rPr>
          <w:rFonts w:cs="Arial"/>
          <w:color w:val="464B51"/>
          <w:lang w:eastAsia="en-GB"/>
        </w:rPr>
        <w:t>based approach to safeguarding adults.</w:t>
      </w:r>
    </w:p>
    <w:p w14:paraId="57D72FA6" w14:textId="77777777" w:rsidR="008F6FA9" w:rsidRPr="00F41AF6" w:rsidRDefault="008F6FA9" w:rsidP="008F6FA9">
      <w:pPr>
        <w:widowControl/>
        <w:shd w:val="clear" w:color="auto" w:fill="FFFFFF"/>
        <w:spacing w:after="150" w:line="240" w:lineRule="auto"/>
        <w:outlineLvl w:val="1"/>
        <w:rPr>
          <w:rFonts w:cs="Arial"/>
          <w:b/>
          <w:bCs/>
          <w:color w:val="464B51"/>
          <w:lang w:eastAsia="en-GB"/>
        </w:rPr>
      </w:pPr>
      <w:r w:rsidRPr="00F41AF6">
        <w:rPr>
          <w:rFonts w:cs="Arial"/>
          <w:b/>
          <w:bCs/>
          <w:color w:val="464B51"/>
          <w:lang w:eastAsia="en-GB"/>
        </w:rPr>
        <w:t>Self-neglect workbook</w:t>
      </w:r>
    </w:p>
    <w:p w14:paraId="754BD502" w14:textId="77777777" w:rsidR="008F6FA9" w:rsidRPr="00F41AF6" w:rsidRDefault="001B0FA9" w:rsidP="008F6FA9">
      <w:pPr>
        <w:widowControl/>
        <w:shd w:val="clear" w:color="auto" w:fill="FFFFFF"/>
        <w:spacing w:after="300" w:line="240" w:lineRule="auto"/>
        <w:rPr>
          <w:rFonts w:cs="Arial"/>
          <w:color w:val="464B51"/>
          <w:lang w:eastAsia="en-GB"/>
        </w:rPr>
      </w:pPr>
      <w:hyperlink r:id="rId16" w:history="1">
        <w:r w:rsidR="008F6FA9" w:rsidRPr="00F41AF6">
          <w:rPr>
            <w:rFonts w:cs="Arial"/>
            <w:b/>
            <w:bCs/>
            <w:color w:val="006699"/>
            <w:u w:val="single"/>
            <w:lang w:eastAsia="en-GB"/>
          </w:rPr>
          <w:t>Making Safeguarding Personal in self-neglect workbook</w:t>
        </w:r>
      </w:hyperlink>
      <w:r w:rsidR="008F6FA9" w:rsidRPr="00F41AF6">
        <w:rPr>
          <w:rFonts w:cs="Arial"/>
          <w:color w:val="464B51"/>
          <w:lang w:eastAsia="en-GB"/>
        </w:rPr>
        <w:t>, produced by Research in Practice, draws on evidence from research and safeguarding adult reviews (SARs) to identify how making safeguarding personal can make a difference to the health, wellbeing and safety of people who are self-neglecting. </w:t>
      </w:r>
    </w:p>
    <w:p w14:paraId="6ECCD957" w14:textId="052AE0A0" w:rsidR="007E3535" w:rsidRPr="002843C3" w:rsidRDefault="002843C3" w:rsidP="007E3535">
      <w:pPr>
        <w:tabs>
          <w:tab w:val="left" w:pos="1450"/>
        </w:tabs>
        <w:rPr>
          <w:b/>
          <w:bCs/>
        </w:rPr>
      </w:pPr>
      <w:r w:rsidRPr="002843C3">
        <w:rPr>
          <w:b/>
          <w:bCs/>
        </w:rPr>
        <w:t>Discriminatory abuse: a briefing for practitioners</w:t>
      </w:r>
    </w:p>
    <w:p w14:paraId="6FA70389" w14:textId="1005ED9B" w:rsidR="007E3535" w:rsidRPr="00F41AF6" w:rsidRDefault="007E3535" w:rsidP="007E3535">
      <w:pPr>
        <w:widowControl/>
        <w:shd w:val="clear" w:color="auto" w:fill="FFFFFF"/>
        <w:spacing w:after="300" w:line="240" w:lineRule="auto"/>
        <w:rPr>
          <w:rFonts w:cs="Arial"/>
          <w:color w:val="464B51"/>
          <w:lang w:eastAsia="en-GB"/>
        </w:rPr>
      </w:pPr>
      <w:r w:rsidRPr="00F41AF6">
        <w:rPr>
          <w:rFonts w:cs="Arial"/>
          <w:color w:val="464B51"/>
          <w:lang w:eastAsia="en-GB"/>
        </w:rPr>
        <w:t xml:space="preserve">This </w:t>
      </w:r>
      <w:hyperlink r:id="rId17" w:history="1">
        <w:r w:rsidRPr="00C53F7A">
          <w:rPr>
            <w:rStyle w:val="Hyperlink"/>
            <w:rFonts w:cs="Arial"/>
            <w:lang w:eastAsia="en-GB"/>
          </w:rPr>
          <w:t>briefing for practitioners</w:t>
        </w:r>
      </w:hyperlink>
      <w:r w:rsidRPr="00F41AF6">
        <w:rPr>
          <w:rFonts w:cs="Arial"/>
          <w:color w:val="464B51"/>
          <w:lang w:eastAsia="en-GB"/>
        </w:rPr>
        <w:t xml:space="preserve"> is based on a literature review, </w:t>
      </w:r>
      <w:hyperlink r:id="rId18" w:history="1">
        <w:r w:rsidRPr="00F41AF6">
          <w:rPr>
            <w:rFonts w:cs="Arial"/>
            <w:b/>
            <w:bCs/>
            <w:color w:val="006699"/>
            <w:u w:val="single"/>
            <w:lang w:eastAsia="en-GB"/>
          </w:rPr>
          <w:t>Discriminatory Abuse: Time to Revive a Forgotten Form of Abuse</w:t>
        </w:r>
      </w:hyperlink>
      <w:r w:rsidRPr="00F41AF6">
        <w:rPr>
          <w:rFonts w:cs="Arial"/>
          <w:color w:val="464B51"/>
          <w:lang w:eastAsia="en-GB"/>
        </w:rPr>
        <w:t>, published in the Journal of Adult Protection in March 2022.  This briefing forms part of a larger piece of work, and series of activities and resources, to gain a better understanding of discriminatory abuse, and how to recognise equality characteristics in case management, and more broadly recognise unconscious bias and discrimination in practice, approaches and strategies within adult safeguarding.</w:t>
      </w:r>
    </w:p>
    <w:p w14:paraId="432B252D" w14:textId="46CD7CE5" w:rsidR="007268D7" w:rsidRPr="00F41AF6" w:rsidRDefault="001B0FA9" w:rsidP="00AC3650">
      <w:hyperlink r:id="rId19" w:history="1">
        <w:r w:rsidR="007E3535" w:rsidRPr="00F41AF6">
          <w:rPr>
            <w:color w:val="0000FF"/>
            <w:u w:val="single"/>
          </w:rPr>
          <w:t>Discriminatory abuse: a briefing for practitioners | Local Government Association</w:t>
        </w:r>
      </w:hyperlink>
    </w:p>
    <w:sectPr w:rsidR="007268D7" w:rsidRPr="00F41AF6" w:rsidSect="00100350">
      <w:footerReference w:type="even" r:id="rId20"/>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DBEFB" w14:textId="77777777" w:rsidR="001B0FA9" w:rsidRDefault="001B0FA9" w:rsidP="0052129E">
      <w:r>
        <w:separator/>
      </w:r>
    </w:p>
  </w:endnote>
  <w:endnote w:type="continuationSeparator" w:id="0">
    <w:p w14:paraId="251C4D74" w14:textId="77777777" w:rsidR="001B0FA9" w:rsidRDefault="001B0FA9" w:rsidP="0052129E">
      <w:r>
        <w:continuationSeparator/>
      </w:r>
    </w:p>
  </w:endnote>
  <w:endnote w:type="continuationNotice" w:id="1">
    <w:p w14:paraId="6C495B21" w14:textId="77777777" w:rsidR="001B0FA9" w:rsidRDefault="001B0FA9"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F9A3E" w14:textId="77777777" w:rsidR="008B5701" w:rsidRDefault="008B5701" w:rsidP="0052129E"/>
  <w:p w14:paraId="694D403F" w14:textId="77777777" w:rsidR="007D6682" w:rsidRPr="00153423" w:rsidRDefault="007D6682" w:rsidP="005212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D15A1" w14:textId="77777777" w:rsidR="001B0FA9" w:rsidRDefault="001B0FA9" w:rsidP="0052129E">
      <w:r>
        <w:separator/>
      </w:r>
    </w:p>
  </w:footnote>
  <w:footnote w:type="continuationSeparator" w:id="0">
    <w:p w14:paraId="7D028DE0" w14:textId="77777777" w:rsidR="001B0FA9" w:rsidRDefault="001B0FA9" w:rsidP="0052129E">
      <w:r>
        <w:continuationSeparator/>
      </w:r>
    </w:p>
  </w:footnote>
  <w:footnote w:type="continuationNotice" w:id="1">
    <w:p w14:paraId="1F7F8F2B" w14:textId="77777777" w:rsidR="001B0FA9" w:rsidRDefault="001B0FA9" w:rsidP="005212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1"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4"/>
  </w:num>
  <w:num w:numId="3">
    <w:abstractNumId w:val="23"/>
  </w:num>
  <w:num w:numId="4">
    <w:abstractNumId w:val="20"/>
  </w:num>
  <w:num w:numId="5">
    <w:abstractNumId w:val="15"/>
  </w:num>
  <w:num w:numId="6">
    <w:abstractNumId w:val="14"/>
  </w:num>
  <w:num w:numId="7">
    <w:abstractNumId w:val="17"/>
  </w:num>
  <w:num w:numId="8">
    <w:abstractNumId w:val="10"/>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5"/>
  </w:num>
  <w:num w:numId="20">
    <w:abstractNumId w:val="22"/>
  </w:num>
  <w:num w:numId="21">
    <w:abstractNumId w:val="13"/>
  </w:num>
  <w:num w:numId="22">
    <w:abstractNumId w:val="26"/>
  </w:num>
  <w:num w:numId="23">
    <w:abstractNumId w:val="16"/>
  </w:num>
  <w:num w:numId="24">
    <w:abstractNumId w:val="19"/>
  </w:num>
  <w:num w:numId="25">
    <w:abstractNumId w:val="21"/>
  </w:num>
  <w:num w:numId="26">
    <w:abstractNumId w:val="11"/>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A9"/>
    <w:rsid w:val="00003DE5"/>
    <w:rsid w:val="000040DD"/>
    <w:rsid w:val="00007035"/>
    <w:rsid w:val="00012642"/>
    <w:rsid w:val="00016C66"/>
    <w:rsid w:val="00023063"/>
    <w:rsid w:val="00033198"/>
    <w:rsid w:val="0003485F"/>
    <w:rsid w:val="00040B3E"/>
    <w:rsid w:val="00042F32"/>
    <w:rsid w:val="00052698"/>
    <w:rsid w:val="00075EDA"/>
    <w:rsid w:val="00085B6E"/>
    <w:rsid w:val="000913D1"/>
    <w:rsid w:val="00095F0F"/>
    <w:rsid w:val="000A3930"/>
    <w:rsid w:val="000A6F0D"/>
    <w:rsid w:val="000B07DB"/>
    <w:rsid w:val="000B34AE"/>
    <w:rsid w:val="000C083B"/>
    <w:rsid w:val="000D27C5"/>
    <w:rsid w:val="000F2249"/>
    <w:rsid w:val="00100350"/>
    <w:rsid w:val="0010218D"/>
    <w:rsid w:val="00125CDC"/>
    <w:rsid w:val="00125D0E"/>
    <w:rsid w:val="00143FF7"/>
    <w:rsid w:val="00144168"/>
    <w:rsid w:val="00151EED"/>
    <w:rsid w:val="00153423"/>
    <w:rsid w:val="0016146B"/>
    <w:rsid w:val="001719D2"/>
    <w:rsid w:val="001879BE"/>
    <w:rsid w:val="00191EF5"/>
    <w:rsid w:val="00195A64"/>
    <w:rsid w:val="001A6528"/>
    <w:rsid w:val="001B0FA9"/>
    <w:rsid w:val="001C0B7F"/>
    <w:rsid w:val="001C403B"/>
    <w:rsid w:val="001D0E03"/>
    <w:rsid w:val="001E3B88"/>
    <w:rsid w:val="001E48CA"/>
    <w:rsid w:val="0020025E"/>
    <w:rsid w:val="002013E6"/>
    <w:rsid w:val="00201BBD"/>
    <w:rsid w:val="0020342C"/>
    <w:rsid w:val="00207C69"/>
    <w:rsid w:val="00215D15"/>
    <w:rsid w:val="0022517A"/>
    <w:rsid w:val="002255C9"/>
    <w:rsid w:val="002258B9"/>
    <w:rsid w:val="00240E17"/>
    <w:rsid w:val="00251064"/>
    <w:rsid w:val="002843C3"/>
    <w:rsid w:val="002B36DC"/>
    <w:rsid w:val="002B6209"/>
    <w:rsid w:val="002C058D"/>
    <w:rsid w:val="002C111D"/>
    <w:rsid w:val="002D013E"/>
    <w:rsid w:val="002E1060"/>
    <w:rsid w:val="002E2053"/>
    <w:rsid w:val="002E6C8C"/>
    <w:rsid w:val="002F3C04"/>
    <w:rsid w:val="002F462E"/>
    <w:rsid w:val="002F7424"/>
    <w:rsid w:val="0030031B"/>
    <w:rsid w:val="00300A77"/>
    <w:rsid w:val="003137E0"/>
    <w:rsid w:val="00324983"/>
    <w:rsid w:val="00345410"/>
    <w:rsid w:val="00353D65"/>
    <w:rsid w:val="00357547"/>
    <w:rsid w:val="00361AEB"/>
    <w:rsid w:val="00363F09"/>
    <w:rsid w:val="003737D0"/>
    <w:rsid w:val="00375F9A"/>
    <w:rsid w:val="003801D6"/>
    <w:rsid w:val="00397CDD"/>
    <w:rsid w:val="003A15A7"/>
    <w:rsid w:val="003C11FC"/>
    <w:rsid w:val="003C495E"/>
    <w:rsid w:val="003C5C16"/>
    <w:rsid w:val="003D1170"/>
    <w:rsid w:val="003D55B7"/>
    <w:rsid w:val="003E2A1C"/>
    <w:rsid w:val="003E5013"/>
    <w:rsid w:val="003F50DB"/>
    <w:rsid w:val="004004E5"/>
    <w:rsid w:val="00400A51"/>
    <w:rsid w:val="00410D69"/>
    <w:rsid w:val="00420B32"/>
    <w:rsid w:val="0042795C"/>
    <w:rsid w:val="00445ECF"/>
    <w:rsid w:val="0044677B"/>
    <w:rsid w:val="00446C9D"/>
    <w:rsid w:val="004629CC"/>
    <w:rsid w:val="00464C5F"/>
    <w:rsid w:val="00474128"/>
    <w:rsid w:val="004812FF"/>
    <w:rsid w:val="004813F5"/>
    <w:rsid w:val="004815E4"/>
    <w:rsid w:val="00486944"/>
    <w:rsid w:val="004A550F"/>
    <w:rsid w:val="004B6480"/>
    <w:rsid w:val="004C0E85"/>
    <w:rsid w:val="004C1176"/>
    <w:rsid w:val="004C1903"/>
    <w:rsid w:val="004C4820"/>
    <w:rsid w:val="004C6AF1"/>
    <w:rsid w:val="004D736A"/>
    <w:rsid w:val="004E1B2D"/>
    <w:rsid w:val="004E337D"/>
    <w:rsid w:val="004E5BF4"/>
    <w:rsid w:val="004E6BB3"/>
    <w:rsid w:val="004F68A2"/>
    <w:rsid w:val="00500B4D"/>
    <w:rsid w:val="00503754"/>
    <w:rsid w:val="00503F09"/>
    <w:rsid w:val="0051479D"/>
    <w:rsid w:val="00515FA7"/>
    <w:rsid w:val="0052129E"/>
    <w:rsid w:val="00526D9F"/>
    <w:rsid w:val="0053346B"/>
    <w:rsid w:val="00535D6E"/>
    <w:rsid w:val="005372A7"/>
    <w:rsid w:val="005500D8"/>
    <w:rsid w:val="00551C91"/>
    <w:rsid w:val="005720CE"/>
    <w:rsid w:val="005A7236"/>
    <w:rsid w:val="005B40FE"/>
    <w:rsid w:val="005B52F8"/>
    <w:rsid w:val="005C0AA0"/>
    <w:rsid w:val="005C379A"/>
    <w:rsid w:val="005D08F8"/>
    <w:rsid w:val="005D52A9"/>
    <w:rsid w:val="005E134D"/>
    <w:rsid w:val="005F35B6"/>
    <w:rsid w:val="00613FAE"/>
    <w:rsid w:val="00616157"/>
    <w:rsid w:val="00616392"/>
    <w:rsid w:val="00627B4F"/>
    <w:rsid w:val="00643FF4"/>
    <w:rsid w:val="00645595"/>
    <w:rsid w:val="00652442"/>
    <w:rsid w:val="00652A30"/>
    <w:rsid w:val="00655DAC"/>
    <w:rsid w:val="00662B42"/>
    <w:rsid w:val="006671C2"/>
    <w:rsid w:val="00672D24"/>
    <w:rsid w:val="00690F84"/>
    <w:rsid w:val="00693086"/>
    <w:rsid w:val="006935A4"/>
    <w:rsid w:val="00695C5E"/>
    <w:rsid w:val="006A0790"/>
    <w:rsid w:val="006A789F"/>
    <w:rsid w:val="006B45FC"/>
    <w:rsid w:val="006C7FA2"/>
    <w:rsid w:val="006E432A"/>
    <w:rsid w:val="00707E98"/>
    <w:rsid w:val="00710E3D"/>
    <w:rsid w:val="00711939"/>
    <w:rsid w:val="0071649C"/>
    <w:rsid w:val="007268D7"/>
    <w:rsid w:val="00740387"/>
    <w:rsid w:val="007430A4"/>
    <w:rsid w:val="007522A4"/>
    <w:rsid w:val="0076751A"/>
    <w:rsid w:val="0078068A"/>
    <w:rsid w:val="007918BC"/>
    <w:rsid w:val="007A3157"/>
    <w:rsid w:val="007B6174"/>
    <w:rsid w:val="007B6FFF"/>
    <w:rsid w:val="007C4B53"/>
    <w:rsid w:val="007C79EC"/>
    <w:rsid w:val="007C7B02"/>
    <w:rsid w:val="007D37E4"/>
    <w:rsid w:val="007D6682"/>
    <w:rsid w:val="007E3535"/>
    <w:rsid w:val="007F1381"/>
    <w:rsid w:val="007F2103"/>
    <w:rsid w:val="007F28E6"/>
    <w:rsid w:val="008048EF"/>
    <w:rsid w:val="00804F72"/>
    <w:rsid w:val="00814F71"/>
    <w:rsid w:val="00821E3F"/>
    <w:rsid w:val="00822601"/>
    <w:rsid w:val="00822830"/>
    <w:rsid w:val="00823320"/>
    <w:rsid w:val="00840174"/>
    <w:rsid w:val="008417F4"/>
    <w:rsid w:val="00846BC5"/>
    <w:rsid w:val="0086789A"/>
    <w:rsid w:val="00887241"/>
    <w:rsid w:val="008905DD"/>
    <w:rsid w:val="00892ECB"/>
    <w:rsid w:val="008A5A73"/>
    <w:rsid w:val="008B2E69"/>
    <w:rsid w:val="008B5701"/>
    <w:rsid w:val="008C56E5"/>
    <w:rsid w:val="008C7AEC"/>
    <w:rsid w:val="008F3BA0"/>
    <w:rsid w:val="008F5F53"/>
    <w:rsid w:val="008F608D"/>
    <w:rsid w:val="008F6EB9"/>
    <w:rsid w:val="008F6FA9"/>
    <w:rsid w:val="00902EFF"/>
    <w:rsid w:val="00904A3B"/>
    <w:rsid w:val="00905BB1"/>
    <w:rsid w:val="00917645"/>
    <w:rsid w:val="00920014"/>
    <w:rsid w:val="00923F56"/>
    <w:rsid w:val="00931482"/>
    <w:rsid w:val="009324C3"/>
    <w:rsid w:val="0093255E"/>
    <w:rsid w:val="00936955"/>
    <w:rsid w:val="0096624C"/>
    <w:rsid w:val="009846C6"/>
    <w:rsid w:val="0098520D"/>
    <w:rsid w:val="009878BD"/>
    <w:rsid w:val="00987CF9"/>
    <w:rsid w:val="00996BE3"/>
    <w:rsid w:val="009A2A70"/>
    <w:rsid w:val="009B36BC"/>
    <w:rsid w:val="009B45B3"/>
    <w:rsid w:val="009C5052"/>
    <w:rsid w:val="009C5246"/>
    <w:rsid w:val="009C6E89"/>
    <w:rsid w:val="009D1063"/>
    <w:rsid w:val="009D274E"/>
    <w:rsid w:val="009D6442"/>
    <w:rsid w:val="009D744C"/>
    <w:rsid w:val="009D77EE"/>
    <w:rsid w:val="009E2623"/>
    <w:rsid w:val="009E3E52"/>
    <w:rsid w:val="009E6111"/>
    <w:rsid w:val="009F1F4A"/>
    <w:rsid w:val="009F482C"/>
    <w:rsid w:val="00A02CAC"/>
    <w:rsid w:val="00A046EC"/>
    <w:rsid w:val="00A17396"/>
    <w:rsid w:val="00A247CC"/>
    <w:rsid w:val="00A61568"/>
    <w:rsid w:val="00A9516B"/>
    <w:rsid w:val="00AA2CA8"/>
    <w:rsid w:val="00AA5C78"/>
    <w:rsid w:val="00AB56A2"/>
    <w:rsid w:val="00AC3650"/>
    <w:rsid w:val="00AE0D4C"/>
    <w:rsid w:val="00AF33D2"/>
    <w:rsid w:val="00AF421F"/>
    <w:rsid w:val="00AF4BD4"/>
    <w:rsid w:val="00B14707"/>
    <w:rsid w:val="00B15CF5"/>
    <w:rsid w:val="00B223D9"/>
    <w:rsid w:val="00B25BE2"/>
    <w:rsid w:val="00B261C3"/>
    <w:rsid w:val="00B270C0"/>
    <w:rsid w:val="00B43FC6"/>
    <w:rsid w:val="00B45F53"/>
    <w:rsid w:val="00B50490"/>
    <w:rsid w:val="00B632F8"/>
    <w:rsid w:val="00B632FD"/>
    <w:rsid w:val="00B63AC4"/>
    <w:rsid w:val="00B8242A"/>
    <w:rsid w:val="00B8434B"/>
    <w:rsid w:val="00BA0C12"/>
    <w:rsid w:val="00BA6C6B"/>
    <w:rsid w:val="00BE2440"/>
    <w:rsid w:val="00BF1144"/>
    <w:rsid w:val="00BF4CF5"/>
    <w:rsid w:val="00C22A6C"/>
    <w:rsid w:val="00C36D71"/>
    <w:rsid w:val="00C42BC3"/>
    <w:rsid w:val="00C53F7A"/>
    <w:rsid w:val="00C7006B"/>
    <w:rsid w:val="00C76125"/>
    <w:rsid w:val="00C77025"/>
    <w:rsid w:val="00C82B22"/>
    <w:rsid w:val="00C84BCF"/>
    <w:rsid w:val="00C869AD"/>
    <w:rsid w:val="00C9073A"/>
    <w:rsid w:val="00C92573"/>
    <w:rsid w:val="00C94567"/>
    <w:rsid w:val="00C94584"/>
    <w:rsid w:val="00CA05B1"/>
    <w:rsid w:val="00CA3222"/>
    <w:rsid w:val="00CA5846"/>
    <w:rsid w:val="00CA6CB6"/>
    <w:rsid w:val="00CB3530"/>
    <w:rsid w:val="00CC0113"/>
    <w:rsid w:val="00CE4C06"/>
    <w:rsid w:val="00CF0511"/>
    <w:rsid w:val="00CF22B9"/>
    <w:rsid w:val="00D244F9"/>
    <w:rsid w:val="00D24F63"/>
    <w:rsid w:val="00D30BBE"/>
    <w:rsid w:val="00D35E87"/>
    <w:rsid w:val="00D51669"/>
    <w:rsid w:val="00D57567"/>
    <w:rsid w:val="00D64C73"/>
    <w:rsid w:val="00D70FE5"/>
    <w:rsid w:val="00D77F7C"/>
    <w:rsid w:val="00D9154B"/>
    <w:rsid w:val="00D91A5B"/>
    <w:rsid w:val="00DA0EAC"/>
    <w:rsid w:val="00DA3FBD"/>
    <w:rsid w:val="00DA5405"/>
    <w:rsid w:val="00E0165F"/>
    <w:rsid w:val="00E141F7"/>
    <w:rsid w:val="00E236C3"/>
    <w:rsid w:val="00E32FD5"/>
    <w:rsid w:val="00E37CF8"/>
    <w:rsid w:val="00E610E1"/>
    <w:rsid w:val="00E618C5"/>
    <w:rsid w:val="00E672DD"/>
    <w:rsid w:val="00E71722"/>
    <w:rsid w:val="00E85176"/>
    <w:rsid w:val="00E8638C"/>
    <w:rsid w:val="00EC3301"/>
    <w:rsid w:val="00EE48FE"/>
    <w:rsid w:val="00F0053A"/>
    <w:rsid w:val="00F035CD"/>
    <w:rsid w:val="00F068E1"/>
    <w:rsid w:val="00F07ED8"/>
    <w:rsid w:val="00F11BF5"/>
    <w:rsid w:val="00F21E08"/>
    <w:rsid w:val="00F32CC2"/>
    <w:rsid w:val="00F41AF6"/>
    <w:rsid w:val="00F5108B"/>
    <w:rsid w:val="00F54F92"/>
    <w:rsid w:val="00F6662B"/>
    <w:rsid w:val="00F67F4D"/>
    <w:rsid w:val="00F74C65"/>
    <w:rsid w:val="00F770BA"/>
    <w:rsid w:val="00F86C57"/>
    <w:rsid w:val="00F94427"/>
    <w:rsid w:val="00FA3617"/>
    <w:rsid w:val="00FB1FE4"/>
    <w:rsid w:val="00FB2952"/>
    <w:rsid w:val="00FC625A"/>
    <w:rsid w:val="00FC6F76"/>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1E34C"/>
  <w14:defaultImageDpi w14:val="330"/>
  <w15:chartTrackingRefBased/>
  <w15:docId w15:val="{2B3E2EA2-90B5-4F80-8B0A-9C881D98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9"/>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1"/>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1"/>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9"/>
    <w:rsid w:val="00503F09"/>
    <w:rPr>
      <w:rFonts w:ascii="Arial" w:hAnsi="Arial" w:cs="Times New Roman"/>
      <w:b/>
      <w:color w:val="9B2C98"/>
      <w:sz w:val="28"/>
    </w:rPr>
  </w:style>
  <w:style w:type="character" w:customStyle="1" w:styleId="Heading3Char">
    <w:name w:val="Heading 3 Char"/>
    <w:basedOn w:val="DefaultParagraphFont"/>
    <w:link w:val="Heading3"/>
    <w:uiPriority w:val="1"/>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customStyle="1"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688366981">
      <w:bodyDiv w:val="1"/>
      <w:marLeft w:val="0"/>
      <w:marRight w:val="0"/>
      <w:marTop w:val="0"/>
      <w:marBottom w:val="0"/>
      <w:divBdr>
        <w:top w:val="none" w:sz="0" w:space="0" w:color="auto"/>
        <w:left w:val="none" w:sz="0" w:space="0" w:color="auto"/>
        <w:bottom w:val="none" w:sz="0" w:space="0" w:color="auto"/>
        <w:right w:val="none" w:sz="0" w:space="0" w:color="auto"/>
      </w:divBdr>
    </w:div>
    <w:div w:id="1756629030">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ublications/health-and-social-care-integrated-care-and-safeguarding-adults" TargetMode="External"/><Relationship Id="rId18" Type="http://schemas.openxmlformats.org/officeDocument/2006/relationships/hyperlink" Target="https://doi.org/10.1108/JAP-12-2021-004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ocal.gov.uk/what-constitutes-safeguarding-concern-and-carrying-out-safeguarding-enquiries-faqs" TargetMode="External"/><Relationship Id="rId17" Type="http://schemas.openxmlformats.org/officeDocument/2006/relationships/hyperlink" Target="https://www.local.gov.uk/publications/discriminatory-abuse-briefing-practitioners" TargetMode="External"/><Relationship Id="rId2" Type="http://schemas.openxmlformats.org/officeDocument/2006/relationships/customXml" Target="../customXml/item2.xml"/><Relationship Id="rId16" Type="http://schemas.openxmlformats.org/officeDocument/2006/relationships/hyperlink" Target="https://www.local.gov.uk/our-support/sector-support-offer/care-and-health-improvement/making-safeguarding-personal/self-neglect-workboo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ublications/what-constitutes-safeguarding-concern-and-how-carry-out-enquiry" TargetMode="External"/><Relationship Id="rId5" Type="http://schemas.openxmlformats.org/officeDocument/2006/relationships/numbering" Target="numbering.xml"/><Relationship Id="rId15" Type="http://schemas.openxmlformats.org/officeDocument/2006/relationships/hyperlink" Target="https://www.local.gov.uk/our-support/sector-support-offer/care-and-health-improvement/making-safeguarding-personal/making-safeguarding-personal-videos" TargetMode="External"/><Relationship Id="rId10" Type="http://schemas.openxmlformats.org/officeDocument/2006/relationships/endnotes" Target="endnotes.xml"/><Relationship Id="rId19" Type="http://schemas.openxmlformats.org/officeDocument/2006/relationships/hyperlink" Target="https://www.local.gov.uk/parliament/briefings-and-responses/discriminatory-abuse-briefing-practition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afeguarding-adults-assurance-information-resource-directors-adult-social-serv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12CB9B6D9782439CE3F0E9253BCDE0" ma:contentTypeVersion="7" ma:contentTypeDescription="Create a new document." ma:contentTypeScope="" ma:versionID="cc2bb365b3d7dfe6b45d15cb1ab69248">
  <xsd:schema xmlns:xsd="http://www.w3.org/2001/XMLSchema" xmlns:xs="http://www.w3.org/2001/XMLSchema" xmlns:p="http://schemas.microsoft.com/office/2006/metadata/properties" xmlns:ns2="01934e03-57f1-41f0-ad8f-894faf207c7d" xmlns:ns3="68fb66dc-adc0-4fbb-beed-390a58e61961" targetNamespace="http://schemas.microsoft.com/office/2006/metadata/properties" ma:root="true" ma:fieldsID="30232af9c202b26747886711a405ed70" ns2:_="" ns3:_="">
    <xsd:import namespace="01934e03-57f1-41f0-ad8f-894faf207c7d"/>
    <xsd:import namespace="68fb66dc-adc0-4fbb-beed-390a58e61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4e03-57f1-41f0-ad8f-894faf207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 ma:index="1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b66dc-adc0-4fbb-beed-390a58e619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owner xmlns="01934e03-57f1-41f0-ad8f-894faf207c7d">
      <UserInfo>
        <DisplayName/>
        <AccountId xsi:nil="true"/>
        <AccountType/>
      </UserInfo>
    </Document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11F7EECE-359B-4E8E-8104-A2533126B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4e03-57f1-41f0-ad8f-894faf207c7d"/>
    <ds:schemaRef ds:uri="68fb66dc-adc0-4fbb-beed-390a58e61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01934e03-57f1-41f0-ad8f-894faf207c7d"/>
  </ds:schemaRefs>
</ds:datastoreItem>
</file>

<file path=customXml/itemProps4.xml><?xml version="1.0" encoding="utf-8"?>
<ds:datastoreItem xmlns:ds="http://schemas.openxmlformats.org/officeDocument/2006/customXml" ds:itemID="{20D87848-28EA-47CA-9CE4-1CB9D356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Anusree Biswas</dc:creator>
  <cp:keywords/>
  <dc:description/>
  <cp:lastModifiedBy>User</cp:lastModifiedBy>
  <cp:revision>2</cp:revision>
  <cp:lastPrinted>2022-07-21T08:46:00Z</cp:lastPrinted>
  <dcterms:created xsi:type="dcterms:W3CDTF">2023-06-10T08:35:00Z</dcterms:created>
  <dcterms:modified xsi:type="dcterms:W3CDTF">2023-06-10T08:35:00Z</dcterms:modified>
</cp:coreProperties>
</file>